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פינק</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304FE" w:rsidRDefault="008F35F5" w:rsidP="008F35F5">
                <w:pPr>
                  <w:suppressLineNumbers/>
                  <w:rPr>
                    <w:rFonts w:ascii="Arial" w:hAnsi="Arial"/>
                    <w:b/>
                    <w:bCs/>
                    <w:noProof w:val="0"/>
                    <w:sz w:val="26"/>
                    <w:szCs w:val="26"/>
                    <w:rtl/>
                  </w:rPr>
                </w:pPr>
                <w:r>
                  <w:rPr>
                    <w:rFonts w:ascii="Arial" w:hAnsi="Arial" w:hint="cs"/>
                    <w:b/>
                    <w:bCs/>
                    <w:noProof w:val="0"/>
                    <w:sz w:val="26"/>
                    <w:szCs w:val="26"/>
                    <w:rtl/>
                  </w:rPr>
                  <w:t>העורר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8F35F5" w:rsidP="00897DAF">
            <w:pPr>
              <w:suppressLineNumbers/>
              <w:rPr>
                <w:b/>
                <w:bCs/>
                <w:noProof w:val="0"/>
                <w:sz w:val="26"/>
                <w:szCs w:val="26"/>
                <w:rtl/>
              </w:rPr>
            </w:pPr>
            <w:r>
              <w:rPr>
                <w:rFonts w:ascii="Arial" w:hAnsi="Arial" w:hint="cs"/>
                <w:b/>
                <w:bCs/>
                <w:noProof w:val="0"/>
                <w:sz w:val="26"/>
                <w:szCs w:val="26"/>
                <w:rtl/>
              </w:rPr>
              <w:t>פלוני</w:t>
            </w:r>
            <w:bookmarkStart w:id="0" w:name="_GoBack"/>
            <w:bookmarkEnd w:id="0"/>
          </w:p>
          <w:p w:rsidR="008F35F5" w:rsidRDefault="008F35F5" w:rsidP="00897DAF">
            <w:pPr>
              <w:suppressLineNumbers/>
              <w:rPr>
                <w:b/>
                <w:bCs/>
                <w:noProof w:val="0"/>
                <w:sz w:val="26"/>
                <w:szCs w:val="26"/>
                <w:rtl/>
              </w:rPr>
            </w:pPr>
            <w:r>
              <w:rPr>
                <w:rFonts w:hint="cs"/>
                <w:b/>
                <w:bCs/>
                <w:noProof w:val="0"/>
                <w:sz w:val="26"/>
                <w:szCs w:val="26"/>
                <w:rtl/>
              </w:rPr>
              <w:t>ע"י עו"ד אודי עמר</w:t>
            </w:r>
          </w:p>
          <w:p w:rsidR="008F35F5" w:rsidRDefault="008F35F5" w:rsidP="00897DAF">
            <w:pPr>
              <w:suppressLineNumbers/>
              <w:rPr>
                <w:b/>
                <w:bCs/>
                <w:noProof w:val="0"/>
                <w:sz w:val="26"/>
                <w:szCs w:val="26"/>
              </w:rPr>
            </w:pPr>
            <w:r>
              <w:rPr>
                <w:rFonts w:hint="cs"/>
                <w:b/>
                <w:bCs/>
                <w:noProof w:val="0"/>
                <w:sz w:val="26"/>
                <w:szCs w:val="26"/>
                <w:rtl/>
              </w:rPr>
              <w:t>ועו"ד שרית פז מהסניגוריה הציבורית</w:t>
            </w:r>
          </w:p>
        </w:tc>
      </w:tr>
      <w:tr w:rsidR="0094424E">
        <w:trPr>
          <w:jc w:val="center"/>
        </w:trPr>
        <w:tc>
          <w:tcPr>
            <w:tcW w:w="8820" w:type="dxa"/>
            <w:gridSpan w:val="3"/>
          </w:tcPr>
          <w:p w:rsidR="0094424E" w:rsidRPr="008F35F5"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C7347" w:rsidP="008F35F5">
            <w:pPr>
              <w:suppressLineNumbers/>
              <w:rPr>
                <w:rFonts w:ascii="Arial" w:hAnsi="Arial"/>
                <w:b/>
                <w:bCs/>
                <w:noProof w:val="0"/>
                <w:sz w:val="26"/>
                <w:szCs w:val="26"/>
              </w:rPr>
            </w:pPr>
            <w:sdt>
              <w:sdtPr>
                <w:rPr>
                  <w:rtl/>
                </w:rPr>
                <w:alias w:val="1184"/>
                <w:tag w:val="1184"/>
                <w:id w:val="-340621022"/>
                <w:text w:multiLine="1"/>
              </w:sdtPr>
              <w:sdtEndPr/>
              <w:sdtContent>
                <w:r w:rsidR="008F35F5">
                  <w:rPr>
                    <w:rFonts w:ascii="Arial" w:hAnsi="Arial" w:hint="cs"/>
                    <w:b/>
                    <w:bCs/>
                    <w:noProof w:val="0"/>
                    <w:sz w:val="26"/>
                    <w:szCs w:val="26"/>
                    <w:rtl/>
                  </w:rPr>
                  <w:t>המשיבה</w:t>
                </w:r>
              </w:sdtContent>
            </w:sdt>
          </w:p>
        </w:tc>
        <w:tc>
          <w:tcPr>
            <w:tcW w:w="5571" w:type="dxa"/>
          </w:tcPr>
          <w:p w:rsidR="0094424E" w:rsidRPr="00E54CD9" w:rsidRDefault="00E54CD9" w:rsidP="008F35F5">
            <w:pPr>
              <w:suppressLineNumbers/>
              <w:rPr>
                <w:rFonts w:ascii="Arial" w:hAnsi="Arial"/>
                <w:b/>
                <w:bCs/>
                <w:noProof w:val="0"/>
                <w:sz w:val="26"/>
                <w:szCs w:val="26"/>
                <w:rtl/>
              </w:rPr>
            </w:pPr>
            <w:r>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897DAF">
                  <w:rPr>
                    <w:rFonts w:ascii="Arial" w:hAnsi="Arial" w:hint="eastAsia"/>
                    <w:b/>
                    <w:bCs/>
                    <w:noProof w:val="0"/>
                    <w:sz w:val="26"/>
                    <w:szCs w:val="26"/>
                    <w:rtl/>
                  </w:rPr>
                  <w:t>מדינת ישראל</w:t>
                </w:r>
              </w:sdtContent>
            </w:sdt>
            <w:r w:rsidRPr="00E54CD9">
              <w:rPr>
                <w:rFonts w:ascii="Arial" w:hAnsi="Arial" w:hint="cs"/>
                <w:b/>
                <w:bCs/>
                <w:noProof w:val="0"/>
                <w:sz w:val="26"/>
                <w:szCs w:val="26"/>
                <w:rtl/>
              </w:rPr>
              <w:t xml:space="preserve"> </w:t>
            </w:r>
          </w:p>
          <w:p w:rsidR="00CF6BB7" w:rsidRDefault="008F35F5" w:rsidP="008F35F5">
            <w:pPr>
              <w:suppressLineNumbers/>
              <w:rPr>
                <w:b/>
                <w:bCs/>
                <w:noProof w:val="0"/>
                <w:sz w:val="26"/>
                <w:szCs w:val="26"/>
                <w:rtl/>
              </w:rPr>
            </w:pPr>
            <w:r>
              <w:rPr>
                <w:rFonts w:hint="cs"/>
                <w:b/>
                <w:bCs/>
                <w:noProof w:val="0"/>
                <w:sz w:val="26"/>
                <w:szCs w:val="26"/>
                <w:rtl/>
              </w:rPr>
              <w:t xml:space="preserve">ע"י משטרת ישראל </w:t>
            </w:r>
            <w:r>
              <w:rPr>
                <w:b/>
                <w:bCs/>
                <w:noProof w:val="0"/>
                <w:sz w:val="26"/>
                <w:szCs w:val="26"/>
                <w:rtl/>
              </w:rPr>
              <w:t>–</w:t>
            </w:r>
            <w:r>
              <w:rPr>
                <w:rFonts w:hint="cs"/>
                <w:b/>
                <w:bCs/>
                <w:noProof w:val="0"/>
                <w:sz w:val="26"/>
                <w:szCs w:val="26"/>
                <w:rtl/>
              </w:rPr>
              <w:t xml:space="preserve"> תביעות מרכז</w:t>
            </w:r>
          </w:p>
        </w:tc>
      </w:tr>
      <w:tr w:rsidR="00CF6BB7" w:rsidTr="00280865">
        <w:trPr>
          <w:jc w:val="center"/>
        </w:trPr>
        <w:tc>
          <w:tcPr>
            <w:tcW w:w="8820" w:type="dxa"/>
            <w:gridSpan w:val="3"/>
          </w:tcPr>
          <w:p w:rsidR="00CF6BB7" w:rsidRPr="008F35F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9304FE" w:rsidRDefault="009304FE">
            <w:pPr>
              <w:rPr>
                <w:rFonts w:ascii="David" w:eastAsia="David" w:hAnsi="David"/>
                <w:noProof w:val="0"/>
              </w:rPr>
            </w:pPr>
          </w:p>
        </w:tc>
        <w:tc>
          <w:tcPr>
            <w:tcW w:w="5571" w:type="dxa"/>
          </w:tcPr>
          <w:p w:rsidR="009304FE" w:rsidRDefault="009304FE">
            <w:pPr>
              <w:rPr>
                <w:b/>
                <w:bCs/>
                <w:sz w:val="26"/>
                <w:szCs w:val="26"/>
              </w:rPr>
            </w:pPr>
          </w:p>
        </w:tc>
      </w:tr>
      <w:tr w:rsidR="004C17EE" w:rsidTr="00D620FD">
        <w:trPr>
          <w:jc w:val="center"/>
        </w:trPr>
        <w:tc>
          <w:tcPr>
            <w:tcW w:w="8820" w:type="dxa"/>
            <w:gridSpan w:val="3"/>
          </w:tcPr>
          <w:p w:rsidR="009304FE" w:rsidRDefault="009304FE">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F35F5" w:rsidRDefault="008F35F5" w:rsidP="008F35F5">
      <w:pPr>
        <w:spacing w:before="120" w:after="60" w:line="360" w:lineRule="auto"/>
        <w:jc w:val="both"/>
        <w:rPr>
          <w:rFonts w:ascii="David" w:hAnsi="David"/>
          <w:rtl/>
        </w:rPr>
      </w:pPr>
      <w:bookmarkStart w:id="1" w:name="NGCSBookmark"/>
      <w:bookmarkEnd w:id="1"/>
      <w:r>
        <w:rPr>
          <w:rFonts w:ascii="David" w:hAnsi="David"/>
          <w:rtl/>
        </w:rPr>
        <w:t>לפניי ערר על החלטת בית משפט השלום לנוער בפתח תקווה (כבוד השופטת אורית קליינפלד) מיום 27.2.23, לפיה הוארכו התנאים המגבילים בהם שוהה העורר ב-90 ימים.</w:t>
      </w:r>
    </w:p>
    <w:p w:rsidR="008F35F5" w:rsidRDefault="008F35F5" w:rsidP="008F35F5">
      <w:pPr>
        <w:spacing w:before="120" w:after="60" w:line="360" w:lineRule="auto"/>
        <w:jc w:val="both"/>
        <w:rPr>
          <w:rFonts w:ascii="Calibri" w:hAnsi="Calibri"/>
          <w:rtl/>
        </w:rPr>
      </w:pPr>
    </w:p>
    <w:p w:rsidR="008F35F5" w:rsidRDefault="008F35F5" w:rsidP="008F35F5">
      <w:pPr>
        <w:spacing w:before="120" w:after="60" w:line="360" w:lineRule="auto"/>
        <w:jc w:val="both"/>
      </w:pPr>
      <w:r>
        <w:rPr>
          <w:rFonts w:ascii="David" w:hAnsi="David"/>
          <w:b/>
          <w:bCs/>
          <w:u w:val="single"/>
          <w:rtl/>
        </w:rPr>
        <w:t>מבוא</w:t>
      </w:r>
    </w:p>
    <w:p w:rsidR="008F35F5" w:rsidRDefault="008F35F5" w:rsidP="008F35F5">
      <w:pPr>
        <w:pStyle w:val="af"/>
        <w:numPr>
          <w:ilvl w:val="0"/>
          <w:numId w:val="2"/>
        </w:numPr>
        <w:spacing w:before="120" w:after="60" w:line="360" w:lineRule="auto"/>
        <w:jc w:val="both"/>
        <w:rPr>
          <w:rFonts w:cs="David"/>
          <w:sz w:val="24"/>
          <w:szCs w:val="24"/>
        </w:rPr>
      </w:pPr>
      <w:r>
        <w:rPr>
          <w:rFonts w:ascii="David" w:hAnsi="David" w:cs="David"/>
          <w:sz w:val="24"/>
          <w:szCs w:val="24"/>
          <w:rtl/>
        </w:rPr>
        <w:t>העורר, קטין בן 15 וחצי, הורשע לפי הודאתו, בעובדות כתב אישום מתוקן ביום 27.6.22, המייחס לו עבירות כדלקמן:</w:t>
      </w:r>
      <w:r>
        <w:rPr>
          <w:rFonts w:cs="David"/>
          <w:sz w:val="24"/>
          <w:szCs w:val="24"/>
          <w:rtl/>
        </w:rPr>
        <w:t xml:space="preserve"> באישום הראשון – תקיפה כדי לגנוב, לפי סעיפים 381(א)(2) ו-29(א) לחוק העונשין, </w:t>
      </w:r>
      <w:proofErr w:type="spellStart"/>
      <w:r>
        <w:rPr>
          <w:rFonts w:cs="David"/>
          <w:sz w:val="24"/>
          <w:szCs w:val="24"/>
          <w:rtl/>
        </w:rPr>
        <w:t>התשל"ז</w:t>
      </w:r>
      <w:proofErr w:type="spellEnd"/>
      <w:r>
        <w:rPr>
          <w:rFonts w:cs="David"/>
          <w:sz w:val="24"/>
          <w:szCs w:val="24"/>
          <w:rtl/>
        </w:rPr>
        <w:t xml:space="preserve"> – 1977; באישום השני – תקיפה, לפי סעיף 379 לחוק העונשין; ובאישום השלישי – היזק לרכוש במזיד, לפי סעיפים 452 ו-29(א) לחוק העונשין, והתנהגות פרועה במקום ציבורי, לפי סעיף 216(א)(1) לחוק העונשין.</w:t>
      </w:r>
    </w:p>
    <w:p w:rsidR="008F35F5" w:rsidRDefault="008F35F5" w:rsidP="008F35F5">
      <w:pPr>
        <w:pStyle w:val="af"/>
        <w:spacing w:before="120" w:after="60" w:line="360" w:lineRule="auto"/>
        <w:ind w:left="567"/>
        <w:jc w:val="both"/>
        <w:rPr>
          <w:rFonts w:ascii="David" w:hAnsi="David" w:cs="David"/>
          <w:sz w:val="24"/>
          <w:szCs w:val="24"/>
        </w:rPr>
      </w:pPr>
      <w:r>
        <w:rPr>
          <w:rFonts w:ascii="David" w:hAnsi="David" w:cs="David"/>
          <w:sz w:val="24"/>
          <w:szCs w:val="24"/>
          <w:rtl/>
        </w:rPr>
        <w:t xml:space="preserve">לפי המיוחס באישום הראשון, העורר, יחד עם נאשם נוסף, דרשו מהמתלוננים </w:t>
      </w:r>
      <w:proofErr w:type="spellStart"/>
      <w:r>
        <w:rPr>
          <w:rFonts w:ascii="David" w:hAnsi="David" w:cs="David"/>
          <w:sz w:val="24"/>
          <w:szCs w:val="24"/>
          <w:rtl/>
        </w:rPr>
        <w:t>ליתן</w:t>
      </w:r>
      <w:proofErr w:type="spellEnd"/>
      <w:r>
        <w:rPr>
          <w:rFonts w:ascii="David" w:hAnsi="David" w:cs="David"/>
          <w:sz w:val="24"/>
          <w:szCs w:val="24"/>
          <w:rtl/>
        </w:rPr>
        <w:t xml:space="preserve"> להם כסף, אחד מהם דחף את אחד המתלוננים, והעורר תפס בגרונו של המתלונן השני, חנק אותו וניסה לבעוט בו, בעוד הנאשם הנוסף כיוון תרסיס גז פלפל לעברו; האישום השני מייחס כי העורר ריסס בגז פלפל מתלונן נוסף; לפי המיוחס באישום השלישי, העורר, יחד עם נאשם נוסף, הגיעו למסעדה מספר פעמים ובה התלוננו על טיב האוכל, גידפו, והשליכו חפצים. </w:t>
      </w:r>
    </w:p>
    <w:p w:rsidR="008F35F5" w:rsidRDefault="008F35F5" w:rsidP="008F35F5">
      <w:pPr>
        <w:pStyle w:val="af"/>
        <w:numPr>
          <w:ilvl w:val="0"/>
          <w:numId w:val="2"/>
        </w:numPr>
        <w:spacing w:before="120" w:after="60" w:line="360" w:lineRule="auto"/>
        <w:jc w:val="both"/>
        <w:rPr>
          <w:rFonts w:cs="David"/>
          <w:b/>
          <w:bCs/>
          <w:sz w:val="24"/>
          <w:szCs w:val="24"/>
          <w:u w:val="single"/>
        </w:rPr>
      </w:pPr>
      <w:r>
        <w:rPr>
          <w:rFonts w:ascii="David" w:hAnsi="David" w:cs="David"/>
          <w:sz w:val="24"/>
          <w:szCs w:val="24"/>
          <w:rtl/>
        </w:rPr>
        <w:t xml:space="preserve">העורר שוהה בתנאים מגבילים שנקבעו במסגרת </w:t>
      </w:r>
      <w:proofErr w:type="spellStart"/>
      <w:r>
        <w:rPr>
          <w:rFonts w:ascii="David" w:hAnsi="David" w:cs="David"/>
          <w:sz w:val="24"/>
          <w:szCs w:val="24"/>
          <w:rtl/>
        </w:rPr>
        <w:t>עמ"י</w:t>
      </w:r>
      <w:proofErr w:type="spellEnd"/>
      <w:r>
        <w:rPr>
          <w:rFonts w:ascii="David" w:hAnsi="David" w:cs="David"/>
          <w:sz w:val="24"/>
          <w:szCs w:val="24"/>
          <w:rtl/>
        </w:rPr>
        <w:t xml:space="preserve"> 50576-03-22, וזאת מיום 22.3.22, לרבות במעצר בית בפיקוח אביו, איסור יצירת קשר עם המעורבים בתיק, הפקדה וערובות צד </w:t>
      </w:r>
      <w:r>
        <w:rPr>
          <w:rFonts w:ascii="David" w:hAnsi="David" w:cs="David"/>
          <w:sz w:val="24"/>
          <w:szCs w:val="24"/>
          <w:rtl/>
        </w:rPr>
        <w:lastRenderedPageBreak/>
        <w:t xml:space="preserve">ג'. לאחר הגשת כתב האישום, הוארכו התנאים המגבילים, וביום 13.4.22 הורה בית המשפט על קליטת העורר בפנימיית "נירים", בהסכמה. התנאים המגבילים נדונו מעת לעת במסגרת דיונים מעקביים. </w:t>
      </w:r>
    </w:p>
    <w:p w:rsidR="008F35F5" w:rsidRDefault="008F35F5" w:rsidP="008F35F5">
      <w:pPr>
        <w:pStyle w:val="af"/>
        <w:numPr>
          <w:ilvl w:val="0"/>
          <w:numId w:val="2"/>
        </w:numPr>
        <w:spacing w:before="120" w:after="60" w:line="360" w:lineRule="auto"/>
        <w:jc w:val="both"/>
        <w:rPr>
          <w:rFonts w:cs="David"/>
          <w:b/>
          <w:bCs/>
          <w:sz w:val="24"/>
          <w:szCs w:val="24"/>
          <w:u w:val="single"/>
        </w:rPr>
      </w:pPr>
      <w:r>
        <w:rPr>
          <w:rFonts w:ascii="David" w:hAnsi="David" w:cs="David"/>
          <w:sz w:val="24"/>
          <w:szCs w:val="24"/>
          <w:rtl/>
        </w:rPr>
        <w:t>ביום 16.1.23, במסגרת דיון מעקבי, ציין בא כוח העורר כי תוקף התנאים פג בחלוף 9 חודשים, משמע ביום 22.12.22. באותה העת, הדיון נדחה לקבלת הסברים משירות המבחן.</w:t>
      </w:r>
      <w:r w:rsidR="006673B3">
        <w:rPr>
          <w:rFonts w:ascii="David" w:hAnsi="David" w:cs="David" w:hint="cs"/>
          <w:sz w:val="24"/>
          <w:szCs w:val="24"/>
          <w:rtl/>
        </w:rPr>
        <w:t xml:space="preserve"> בה בעת, במועד זה ממש טען בא כוח העורר, במסגרת דיון בהליך </w:t>
      </w:r>
      <w:proofErr w:type="spellStart"/>
      <w:r w:rsidR="006673B3">
        <w:rPr>
          <w:rFonts w:ascii="David" w:hAnsi="David" w:cs="David" w:hint="cs"/>
          <w:sz w:val="24"/>
          <w:szCs w:val="24"/>
          <w:rtl/>
        </w:rPr>
        <w:t>הת"פ</w:t>
      </w:r>
      <w:proofErr w:type="spellEnd"/>
      <w:r w:rsidR="006673B3">
        <w:rPr>
          <w:rFonts w:ascii="David" w:hAnsi="David" w:cs="David" w:hint="cs"/>
          <w:sz w:val="24"/>
          <w:szCs w:val="24"/>
          <w:rtl/>
        </w:rPr>
        <w:t>, כי הוא מסכים להארכת התנאים.</w:t>
      </w:r>
      <w:r>
        <w:rPr>
          <w:rFonts w:ascii="David" w:hAnsi="David" w:cs="David"/>
          <w:sz w:val="24"/>
          <w:szCs w:val="24"/>
          <w:rtl/>
        </w:rPr>
        <w:t xml:space="preserve"> תסקיר מעקבי נוסף הוגש ביום 23.1.23, ולאחר הגשתו הודיע בא כוח העורר ביום 25.1.23, כי הוא "שומר לעצמו את הזכות להעלות טענות בכל הנוגע לתוקף התנאים המגבילים". </w:t>
      </w:r>
    </w:p>
    <w:p w:rsidR="008F35F5" w:rsidRDefault="008F35F5" w:rsidP="008F35F5">
      <w:pPr>
        <w:pStyle w:val="af"/>
        <w:numPr>
          <w:ilvl w:val="0"/>
          <w:numId w:val="2"/>
        </w:numPr>
        <w:spacing w:before="120" w:after="60" w:line="360" w:lineRule="auto"/>
        <w:jc w:val="both"/>
        <w:rPr>
          <w:rFonts w:cs="David"/>
          <w:b/>
          <w:bCs/>
          <w:sz w:val="24"/>
          <w:szCs w:val="24"/>
          <w:u w:val="single"/>
        </w:rPr>
      </w:pPr>
      <w:r>
        <w:rPr>
          <w:rFonts w:ascii="David" w:hAnsi="David" w:cs="David"/>
          <w:sz w:val="24"/>
          <w:szCs w:val="24"/>
          <w:rtl/>
        </w:rPr>
        <w:t xml:space="preserve">בדיון שהתקיים ביום 6.2.23 טען בא כוח העורר, כי התנאים המגבילים פקעו ביום 22.12.22, ומכאן שיש לשחרר העורר, ואילו המשיבה טענה כי יש לראות בדיונים </w:t>
      </w:r>
      <w:proofErr w:type="spellStart"/>
      <w:r>
        <w:rPr>
          <w:rFonts w:ascii="David" w:hAnsi="David" w:cs="David"/>
          <w:sz w:val="24"/>
          <w:szCs w:val="24"/>
          <w:rtl/>
        </w:rPr>
        <w:t>המעקביים</w:t>
      </w:r>
      <w:proofErr w:type="spellEnd"/>
      <w:r>
        <w:rPr>
          <w:rFonts w:ascii="David" w:hAnsi="David" w:cs="David"/>
          <w:sz w:val="24"/>
          <w:szCs w:val="24"/>
          <w:rtl/>
        </w:rPr>
        <w:t xml:space="preserve"> שהתקיימו בעניינו של העורר מעת לעת חלופה מספקת לדיון בבקשה להארכת התנאים. </w:t>
      </w:r>
    </w:p>
    <w:p w:rsidR="008F35F5" w:rsidRDefault="008F35F5" w:rsidP="008F35F5">
      <w:pPr>
        <w:pStyle w:val="af"/>
        <w:numPr>
          <w:ilvl w:val="0"/>
          <w:numId w:val="2"/>
        </w:numPr>
        <w:spacing w:before="120" w:after="60" w:line="360" w:lineRule="auto"/>
        <w:jc w:val="both"/>
        <w:rPr>
          <w:rFonts w:cs="David"/>
          <w:b/>
          <w:bCs/>
          <w:sz w:val="24"/>
          <w:szCs w:val="24"/>
          <w:u w:val="single"/>
        </w:rPr>
      </w:pPr>
      <w:r>
        <w:rPr>
          <w:rFonts w:ascii="David" w:hAnsi="David" w:cs="David"/>
          <w:sz w:val="24"/>
          <w:szCs w:val="24"/>
          <w:rtl/>
        </w:rPr>
        <w:t>בית משפט השלום, בהחלטתו הנזכרת מיום 27.2.23, קבע כי החוק אינו קובע במפורש אם יש להביא בקשה להארכת תנאים מגבילים בעניינו של קטין בפני בית המשפט בכתב, וכי ישנם טעמים לכאן ולכאן, אולם אין צורך להכריע בשאלה, משום שתקופת התנאים הוארכה ברצף על ידי בית המשפט, והיעדר הבקשה הוא פגם הניתן לריפוי. כן קבע, כי תכלית הביקורת השיפוטית על התנאים המגבילים החלים על קטין הושגה, לאור תכיפות הדיונים בעניינו, הימשכות ההליך אשר מתיישבת עם אפקטיביות ונחיצות טיפולית, ובחינת מסוכנות העורר לאחר מעורבותו באירוע חריג בפנימייה. עוד נקבע, כי גם אם פקעו התנאים, ניתן לחדשם נוכח אירועי אלימות ובריונות והטיעונים לעונש נדחו בשל הצורך הטיפולי ביחס לדפוסי האלימות של העורר. בית המשפט האריך את התנאים המגבילים ב-90 ימים, תוך שקבע כי העורר יהיה בפיקוח הוריו בזמן חופשות בשעות 22:00 – 6:00 בלבד, והגעתו ל"נירים" ולבית המשפט תהיה ללא ליווי.</w:t>
      </w:r>
    </w:p>
    <w:p w:rsidR="008F35F5" w:rsidRDefault="008F35F5" w:rsidP="008F35F5">
      <w:pPr>
        <w:spacing w:before="120" w:after="60" w:line="360" w:lineRule="auto"/>
        <w:jc w:val="both"/>
        <w:rPr>
          <w:rFonts w:ascii="David" w:hAnsi="David"/>
          <w:b/>
          <w:bCs/>
          <w:u w:val="single"/>
          <w:rtl/>
        </w:rPr>
      </w:pPr>
    </w:p>
    <w:p w:rsidR="008F35F5" w:rsidRPr="008F35F5" w:rsidRDefault="008F35F5" w:rsidP="008F35F5">
      <w:pPr>
        <w:spacing w:before="120" w:after="60" w:line="360" w:lineRule="auto"/>
        <w:jc w:val="both"/>
        <w:rPr>
          <w:rFonts w:ascii="David" w:hAnsi="David"/>
          <w:b/>
          <w:bCs/>
          <w:u w:val="single"/>
        </w:rPr>
      </w:pPr>
      <w:r w:rsidRPr="008F35F5">
        <w:rPr>
          <w:rFonts w:ascii="David" w:hAnsi="David"/>
          <w:b/>
          <w:bCs/>
          <w:u w:val="single"/>
          <w:rtl/>
        </w:rPr>
        <w:t>טענות הצדדים בערר</w:t>
      </w:r>
    </w:p>
    <w:p w:rsidR="008F35F5" w:rsidRDefault="008F35F5" w:rsidP="008F35F5">
      <w:pPr>
        <w:pStyle w:val="af"/>
        <w:numPr>
          <w:ilvl w:val="0"/>
          <w:numId w:val="2"/>
        </w:numPr>
        <w:spacing w:before="120" w:after="60" w:line="360" w:lineRule="auto"/>
        <w:jc w:val="both"/>
        <w:rPr>
          <w:rFonts w:ascii="David" w:hAnsi="David" w:cs="David"/>
          <w:sz w:val="24"/>
          <w:szCs w:val="24"/>
        </w:rPr>
      </w:pPr>
      <w:r>
        <w:rPr>
          <w:rFonts w:ascii="David" w:hAnsi="David" w:cs="David"/>
          <w:sz w:val="24"/>
          <w:szCs w:val="24"/>
          <w:rtl/>
        </w:rPr>
        <w:t xml:space="preserve">בערר טענו באי כוח העורר, כי לא היה מקום להאריך את התנאים על סמך תסקיר, ומבלי שהמדינה הגישה בקשה להארכתם. כן טענו, כי יש לקיים דיון מהותי בהארכת תנאים מגבילים, תוך בחינת השלכתם על התפתחות ושיקום הקטין אל מול האינטרס הציבורי. לטענתם, דיוני מעקב, אשר נוגעים לאופי התנאים, לרבות שינויים והקלות בהם, אינם באים במקום הדיון בבקשה להארכת תנאים. </w:t>
      </w:r>
    </w:p>
    <w:p w:rsidR="008F35F5" w:rsidRDefault="008F35F5" w:rsidP="008F35F5">
      <w:pPr>
        <w:pStyle w:val="af"/>
        <w:spacing w:before="120" w:after="60" w:line="360" w:lineRule="auto"/>
        <w:ind w:left="567"/>
        <w:jc w:val="both"/>
        <w:rPr>
          <w:rFonts w:ascii="David" w:hAnsi="David" w:cs="David"/>
          <w:sz w:val="24"/>
          <w:szCs w:val="24"/>
        </w:rPr>
      </w:pPr>
      <w:r>
        <w:rPr>
          <w:rFonts w:ascii="David" w:hAnsi="David" w:cs="David"/>
          <w:sz w:val="24"/>
          <w:szCs w:val="24"/>
          <w:rtl/>
        </w:rPr>
        <w:lastRenderedPageBreak/>
        <w:t>עוד טענו באי כוח העורר, כי מוטלת על התביעה חובה להגיש בקשה להארכת התנאים, מכוח החוק והפרקטיקה הקיימת, וכן מכוח היקש מחובת התביעה להגיש בקשה להארכת מעצר מעבר לתשעה חודשים. אולם, בקשה להארכת תנאים לא הוגשה.</w:t>
      </w:r>
    </w:p>
    <w:p w:rsidR="008F35F5" w:rsidRDefault="008F35F5" w:rsidP="008F35F5">
      <w:pPr>
        <w:pStyle w:val="af"/>
        <w:spacing w:before="120" w:after="60" w:line="360" w:lineRule="auto"/>
        <w:ind w:left="567"/>
        <w:jc w:val="both"/>
        <w:rPr>
          <w:rFonts w:ascii="David" w:hAnsi="David" w:cs="David"/>
          <w:sz w:val="24"/>
          <w:szCs w:val="24"/>
          <w:rtl/>
        </w:rPr>
      </w:pPr>
      <w:r>
        <w:rPr>
          <w:rFonts w:ascii="David" w:hAnsi="David" w:cs="David"/>
          <w:sz w:val="24"/>
          <w:szCs w:val="24"/>
          <w:rtl/>
        </w:rPr>
        <w:t xml:space="preserve">כן טענו באי כוח העורר, כי ניתן לחדש תנאים מגבילים שפקעו לבקשת התביעה, על יסוד שינוי נסיבות ונימוקים כבדי משקל, אשר אינם מתקיימים במקרה הנדון. לטענתם, בהתחשב בתפקודו של העורר ובשלב בו מצוי ההליך, אין מקום לחדש את התנאים לאחר שפקעו. המלצת שירות המבחן בעניין התנאים ניתנה מתוך הנחה כי התנאים תקפים, אך משפקעו השתנתה נקודת האיזון, ויש לבחון האם מתקיימות נסיבות חריגות, כאמור. </w:t>
      </w:r>
    </w:p>
    <w:p w:rsidR="008F35F5" w:rsidRDefault="008F35F5" w:rsidP="008F35F5">
      <w:pPr>
        <w:pStyle w:val="af"/>
        <w:numPr>
          <w:ilvl w:val="0"/>
          <w:numId w:val="2"/>
        </w:numPr>
        <w:spacing w:before="120" w:after="60" w:line="360" w:lineRule="auto"/>
        <w:jc w:val="both"/>
        <w:rPr>
          <w:rFonts w:ascii="David" w:hAnsi="David" w:cs="David"/>
          <w:sz w:val="24"/>
          <w:szCs w:val="24"/>
          <w:rtl/>
        </w:rPr>
      </w:pPr>
      <w:r>
        <w:rPr>
          <w:rFonts w:ascii="David" w:hAnsi="David" w:cs="David"/>
          <w:sz w:val="24"/>
          <w:szCs w:val="24"/>
          <w:rtl/>
        </w:rPr>
        <w:t>באי כוח המשיבה טענו, לעומת זאת, כי לא נפלה כל שגגה בהחלטת בית משפט לנוער, אשר קיים דיונים מעקביים ויש בהם משום חלופה ראויה לדיון בבקשה להארכת תנאים. עוד טענו, כי הלכה למעשה הסכימו באי כוח העורר להארכת התנאים בדיון שהתקיים ביום 16.1.23, וזאת לאחר שפקעו, ומכאן שאין להיעתר לטענות בדבר פקיעת התנאים, שהועלו אך בדיון מאוחר יותר.</w:t>
      </w:r>
    </w:p>
    <w:p w:rsidR="008F35F5" w:rsidRDefault="008F35F5" w:rsidP="008F35F5">
      <w:pPr>
        <w:pStyle w:val="af"/>
        <w:spacing w:before="120" w:after="60" w:line="360" w:lineRule="auto"/>
        <w:ind w:left="567"/>
        <w:jc w:val="both"/>
        <w:rPr>
          <w:rFonts w:ascii="David" w:hAnsi="David" w:cs="David"/>
          <w:sz w:val="24"/>
          <w:szCs w:val="24"/>
        </w:rPr>
      </w:pPr>
      <w:r>
        <w:rPr>
          <w:rFonts w:ascii="David" w:hAnsi="David" w:cs="David"/>
          <w:sz w:val="24"/>
          <w:szCs w:val="24"/>
          <w:rtl/>
        </w:rPr>
        <w:t>כן טענו באי כוח המשיבה, כי לא חלה חובה על התביעה להגיש בקשה בכתב להארכת תנאים ואף שתביעה לא הגישה בקשה, די בדיון המהותי שהתקיים בשאלת הארכת התנאים המגבילים. עוד טענו, כי הארכת התנאים המגבילים משרתת את אינטרס העורר, ואין מקום להורות על פקיעתם מטעמים פרוצדורליים גרידא.</w:t>
      </w:r>
    </w:p>
    <w:p w:rsidR="008F35F5" w:rsidRDefault="008F35F5" w:rsidP="008F35F5">
      <w:pPr>
        <w:pStyle w:val="af"/>
        <w:spacing w:before="120" w:after="60" w:line="360" w:lineRule="auto"/>
        <w:ind w:left="567"/>
        <w:jc w:val="both"/>
        <w:rPr>
          <w:rFonts w:ascii="David" w:hAnsi="David" w:cs="David"/>
          <w:sz w:val="24"/>
          <w:szCs w:val="24"/>
        </w:rPr>
      </w:pPr>
      <w:r>
        <w:rPr>
          <w:rFonts w:ascii="David" w:hAnsi="David" w:cs="David"/>
          <w:sz w:val="24"/>
          <w:szCs w:val="24"/>
          <w:rtl/>
        </w:rPr>
        <w:t xml:space="preserve"> </w:t>
      </w:r>
    </w:p>
    <w:p w:rsidR="008F35F5" w:rsidRDefault="008F35F5" w:rsidP="008F35F5">
      <w:pPr>
        <w:pStyle w:val="1"/>
        <w:numPr>
          <w:ilvl w:val="0"/>
          <w:numId w:val="0"/>
        </w:numPr>
        <w:ind w:left="567" w:hanging="567"/>
        <w:rPr>
          <w:rFonts w:cs="David"/>
          <w:sz w:val="24"/>
          <w:rtl/>
        </w:rPr>
      </w:pPr>
      <w:r>
        <w:rPr>
          <w:rFonts w:ascii="David" w:hAnsi="David" w:cs="David"/>
          <w:b/>
          <w:bCs/>
          <w:sz w:val="24"/>
          <w:u w:val="single"/>
          <w:rtl/>
        </w:rPr>
        <w:t>דיון והכרעה</w:t>
      </w:r>
    </w:p>
    <w:p w:rsidR="008F35F5" w:rsidRDefault="008F35F5" w:rsidP="008F35F5">
      <w:pPr>
        <w:pStyle w:val="af"/>
        <w:numPr>
          <w:ilvl w:val="0"/>
          <w:numId w:val="2"/>
        </w:numPr>
        <w:spacing w:before="120" w:after="60" w:line="360" w:lineRule="auto"/>
        <w:jc w:val="both"/>
        <w:rPr>
          <w:rFonts w:ascii="David" w:hAnsi="David" w:cs="David"/>
          <w:sz w:val="24"/>
          <w:szCs w:val="24"/>
        </w:rPr>
      </w:pPr>
      <w:r>
        <w:rPr>
          <w:rFonts w:ascii="David" w:hAnsi="David" w:cs="David"/>
          <w:sz w:val="24"/>
          <w:szCs w:val="24"/>
          <w:rtl/>
        </w:rPr>
        <w:t xml:space="preserve">סעיף 10יד(א) לחוק הנוער (שפיטה, ענישה ודרכי טיפול), </w:t>
      </w:r>
      <w:proofErr w:type="spellStart"/>
      <w:r>
        <w:rPr>
          <w:rFonts w:ascii="David" w:hAnsi="David" w:cs="David"/>
          <w:sz w:val="24"/>
          <w:szCs w:val="24"/>
          <w:rtl/>
        </w:rPr>
        <w:t>התשל"א</w:t>
      </w:r>
      <w:proofErr w:type="spellEnd"/>
      <w:r>
        <w:rPr>
          <w:rFonts w:ascii="David" w:hAnsi="David" w:cs="David"/>
          <w:sz w:val="24"/>
          <w:szCs w:val="24"/>
          <w:rtl/>
        </w:rPr>
        <w:t xml:space="preserve"> – 1971, קובע כדלקמן:</w:t>
      </w:r>
    </w:p>
    <w:p w:rsidR="008F35F5" w:rsidRDefault="008F35F5" w:rsidP="008F35F5">
      <w:pPr>
        <w:pStyle w:val="af"/>
        <w:spacing w:before="120" w:after="60" w:line="360" w:lineRule="auto"/>
        <w:ind w:left="1134" w:right="1134"/>
        <w:jc w:val="both"/>
        <w:rPr>
          <w:rFonts w:ascii="David" w:hAnsi="David" w:cs="David"/>
          <w:sz w:val="24"/>
          <w:szCs w:val="24"/>
        </w:rPr>
      </w:pPr>
      <w:r>
        <w:rPr>
          <w:rFonts w:ascii="David" w:hAnsi="David" w:cs="David"/>
          <w:sz w:val="24"/>
          <w:szCs w:val="24"/>
          <w:rtl/>
        </w:rPr>
        <w:t>קטין שבית משפט הורה על שחרורו בערובה בתנאי כאמור בסעיף 48(א)(9) לחוק המעצרים, לא יהיה נתון בתנאי כאמור לתקופה העולה על תשעה חודשים; ואולם רשאי בית המשפט להורות על הארכת התנאי לתקופה שלא תעלה על 90 ימים, ולחזור ולצוות כך מעת לעת.</w:t>
      </w:r>
    </w:p>
    <w:p w:rsidR="008F35F5" w:rsidRDefault="008F35F5" w:rsidP="008F35F5">
      <w:pPr>
        <w:pStyle w:val="af"/>
        <w:numPr>
          <w:ilvl w:val="0"/>
          <w:numId w:val="2"/>
        </w:numPr>
        <w:spacing w:before="120" w:after="60" w:line="360" w:lineRule="auto"/>
        <w:jc w:val="both"/>
        <w:rPr>
          <w:rFonts w:ascii="David" w:hAnsi="David" w:cs="David"/>
          <w:sz w:val="24"/>
          <w:szCs w:val="24"/>
        </w:rPr>
      </w:pPr>
      <w:r>
        <w:rPr>
          <w:rFonts w:ascii="David" w:hAnsi="David" w:cs="David"/>
          <w:sz w:val="24"/>
          <w:szCs w:val="24"/>
          <w:rtl/>
        </w:rPr>
        <w:t>תכלית ההוראה היא לקיים ביקורת תכופה ומעקב סדיר אחר מצבו של הקטין השוהה בתנאים מגבילים, מתוך הבנת ההשפעות האפשריות של הימצאות הקטין במעצר בית ממושך (</w:t>
      </w:r>
      <w:proofErr w:type="spellStart"/>
      <w:r>
        <w:rPr>
          <w:rFonts w:ascii="David" w:hAnsi="David" w:cs="David"/>
          <w:sz w:val="24"/>
          <w:szCs w:val="24"/>
          <w:rtl/>
        </w:rPr>
        <w:t>בש"פ</w:t>
      </w:r>
      <w:proofErr w:type="spellEnd"/>
      <w:r>
        <w:rPr>
          <w:rFonts w:ascii="David" w:hAnsi="David" w:cs="David"/>
          <w:sz w:val="24"/>
          <w:szCs w:val="24"/>
          <w:rtl/>
        </w:rPr>
        <w:t xml:space="preserve"> 5690/19 </w:t>
      </w:r>
      <w:r>
        <w:rPr>
          <w:rFonts w:ascii="David" w:hAnsi="David" w:cs="David"/>
          <w:b/>
          <w:bCs/>
          <w:sz w:val="24"/>
          <w:szCs w:val="24"/>
          <w:rtl/>
        </w:rPr>
        <w:t>פלוני נ' מדינת ישראל</w:t>
      </w:r>
      <w:r>
        <w:rPr>
          <w:rFonts w:ascii="David" w:hAnsi="David" w:cs="David"/>
          <w:sz w:val="24"/>
          <w:szCs w:val="24"/>
          <w:rtl/>
        </w:rPr>
        <w:t xml:space="preserve"> (6.10.19); </w:t>
      </w:r>
      <w:proofErr w:type="spellStart"/>
      <w:r>
        <w:rPr>
          <w:rFonts w:ascii="David" w:hAnsi="David" w:cs="David"/>
          <w:sz w:val="24"/>
          <w:szCs w:val="24"/>
          <w:rtl/>
        </w:rPr>
        <w:t>בש"פ</w:t>
      </w:r>
      <w:proofErr w:type="spellEnd"/>
      <w:r>
        <w:rPr>
          <w:rFonts w:ascii="David" w:hAnsi="David" w:cs="David"/>
          <w:sz w:val="24"/>
          <w:szCs w:val="24"/>
          <w:rtl/>
        </w:rPr>
        <w:t xml:space="preserve"> 7957/14 </w:t>
      </w:r>
      <w:r>
        <w:rPr>
          <w:rFonts w:ascii="David" w:hAnsi="David" w:cs="David"/>
          <w:b/>
          <w:bCs/>
          <w:sz w:val="24"/>
          <w:szCs w:val="24"/>
          <w:rtl/>
        </w:rPr>
        <w:t>פלוני נ' מדינת ישראל</w:t>
      </w:r>
      <w:r>
        <w:rPr>
          <w:rFonts w:ascii="David" w:hAnsi="David" w:cs="David"/>
          <w:sz w:val="24"/>
          <w:szCs w:val="24"/>
          <w:rtl/>
        </w:rPr>
        <w:t xml:space="preserve"> (7.12.14)). מכאן, שבמסגרת דיון מהותי בהארכת התנאים, על בית המשפט לבחון לא רק את מצבו של הקטין ואת סטטוס שיקומו, באמצעות שירות המבחן, אלא גם את חלוף הזמן בו שוהה הקטין בתנאים מגבילים, השלב בו מצוי ההליך והצפי להימשכותו.</w:t>
      </w:r>
    </w:p>
    <w:p w:rsidR="008F35F5" w:rsidRDefault="008F35F5" w:rsidP="008F35F5">
      <w:pPr>
        <w:pStyle w:val="af"/>
        <w:numPr>
          <w:ilvl w:val="0"/>
          <w:numId w:val="2"/>
        </w:numPr>
        <w:spacing w:before="120" w:after="60" w:line="360" w:lineRule="auto"/>
        <w:jc w:val="both"/>
        <w:rPr>
          <w:rFonts w:ascii="David" w:hAnsi="David" w:cs="David"/>
          <w:sz w:val="24"/>
          <w:szCs w:val="24"/>
          <w:rtl/>
        </w:rPr>
      </w:pPr>
      <w:r>
        <w:rPr>
          <w:rFonts w:ascii="David" w:hAnsi="David" w:cs="David"/>
          <w:sz w:val="24"/>
          <w:szCs w:val="24"/>
          <w:rtl/>
        </w:rPr>
        <w:lastRenderedPageBreak/>
        <w:t>נפסק בהקשר זה, כי דרך המלך בהארכת תנאים מגבילים בעניינו של קטין, היא באמצעות הגשת בקשה מתאימה לבית המשפט מבעוד מועד להארכת התנאים וקיום דיון מהותי בבקשה. היעדר קיום דיון בבקשה להארכת תנאים הוא בגדר פגם (</w:t>
      </w:r>
      <w:proofErr w:type="spellStart"/>
      <w:r>
        <w:rPr>
          <w:rFonts w:ascii="David" w:hAnsi="David" w:cs="David"/>
          <w:sz w:val="24"/>
          <w:szCs w:val="24"/>
          <w:rtl/>
        </w:rPr>
        <w:t>בש"פ</w:t>
      </w:r>
      <w:proofErr w:type="spellEnd"/>
      <w:r>
        <w:rPr>
          <w:rFonts w:ascii="David" w:hAnsi="David" w:cs="David"/>
          <w:sz w:val="24"/>
          <w:szCs w:val="24"/>
          <w:rtl/>
        </w:rPr>
        <w:t xml:space="preserve"> 4234/14 </w:t>
      </w:r>
      <w:r>
        <w:rPr>
          <w:rFonts w:ascii="David" w:hAnsi="David" w:cs="David"/>
          <w:b/>
          <w:bCs/>
          <w:sz w:val="24"/>
          <w:szCs w:val="24"/>
          <w:rtl/>
        </w:rPr>
        <w:t xml:space="preserve">פלוני נ' מדינת ישראל </w:t>
      </w:r>
      <w:r>
        <w:rPr>
          <w:rFonts w:ascii="David" w:hAnsi="David" w:cs="David"/>
          <w:sz w:val="24"/>
          <w:szCs w:val="24"/>
          <w:rtl/>
        </w:rPr>
        <w:t xml:space="preserve">(19.6.14); </w:t>
      </w:r>
      <w:proofErr w:type="spellStart"/>
      <w:r>
        <w:rPr>
          <w:rFonts w:ascii="David" w:hAnsi="David" w:cs="David"/>
          <w:sz w:val="24"/>
          <w:szCs w:val="24"/>
          <w:rtl/>
        </w:rPr>
        <w:t>בש"פ</w:t>
      </w:r>
      <w:proofErr w:type="spellEnd"/>
      <w:r>
        <w:rPr>
          <w:rFonts w:ascii="David" w:hAnsi="David" w:cs="David"/>
          <w:sz w:val="24"/>
          <w:szCs w:val="24"/>
          <w:rtl/>
        </w:rPr>
        <w:t xml:space="preserve"> 6100/13 </w:t>
      </w:r>
      <w:r>
        <w:rPr>
          <w:rFonts w:ascii="David" w:hAnsi="David" w:cs="David"/>
          <w:b/>
          <w:bCs/>
          <w:sz w:val="24"/>
          <w:szCs w:val="24"/>
          <w:rtl/>
        </w:rPr>
        <w:t>פלוני נ' מדינת ישראל</w:t>
      </w:r>
      <w:r>
        <w:rPr>
          <w:rFonts w:ascii="David" w:hAnsi="David" w:cs="David"/>
          <w:sz w:val="24"/>
          <w:szCs w:val="24"/>
          <w:rtl/>
        </w:rPr>
        <w:t xml:space="preserve"> (17.11.13); ). </w:t>
      </w:r>
    </w:p>
    <w:p w:rsidR="008F35F5" w:rsidRDefault="008F35F5" w:rsidP="008F35F5">
      <w:pPr>
        <w:pStyle w:val="af"/>
        <w:spacing w:before="120" w:after="60" w:line="360" w:lineRule="auto"/>
        <w:ind w:left="567"/>
        <w:jc w:val="both"/>
        <w:rPr>
          <w:rFonts w:ascii="David" w:hAnsi="David" w:cs="David"/>
          <w:sz w:val="24"/>
          <w:szCs w:val="24"/>
        </w:rPr>
      </w:pPr>
      <w:r>
        <w:rPr>
          <w:rFonts w:ascii="David" w:hAnsi="David" w:cs="David"/>
          <w:sz w:val="24"/>
          <w:szCs w:val="24"/>
          <w:rtl/>
        </w:rPr>
        <w:t xml:space="preserve">עם זאת, ניתן להורות על הארכת התנאים המגבילים בהם שוהה קטין גם אם לא הוגשה בקשה </w:t>
      </w:r>
      <w:proofErr w:type="spellStart"/>
      <w:r>
        <w:rPr>
          <w:rFonts w:ascii="David" w:hAnsi="David" w:cs="David"/>
          <w:sz w:val="24"/>
          <w:szCs w:val="24"/>
          <w:rtl/>
        </w:rPr>
        <w:t>להאריכם</w:t>
      </w:r>
      <w:proofErr w:type="spellEnd"/>
      <w:r>
        <w:rPr>
          <w:rFonts w:ascii="David" w:hAnsi="David" w:cs="David"/>
          <w:sz w:val="24"/>
          <w:szCs w:val="24"/>
          <w:rtl/>
        </w:rPr>
        <w:t xml:space="preserve"> במועד, או לא התקיים דיון בבקשה במועד, ואין בכך כדי לשלול את סמכותו של בית המשפט להורות על הארכת התנאים. מכאן נפסק, כי אף שאיחור בהגשת בקשה להארכת תנאים הוא בגדר פגם, אין בפגם זה כשלעצמו כדי לפסול את האפשרות להאריך את התנאים, ובלבד שמתקיים דיון מהותי בשאלת הארכת התנאים (</w:t>
      </w:r>
      <w:proofErr w:type="spellStart"/>
      <w:r>
        <w:rPr>
          <w:rFonts w:ascii="David" w:hAnsi="David" w:cs="David"/>
          <w:b/>
          <w:bCs/>
          <w:sz w:val="24"/>
          <w:szCs w:val="24"/>
          <w:rtl/>
        </w:rPr>
        <w:t>בש"פ</w:t>
      </w:r>
      <w:proofErr w:type="spellEnd"/>
      <w:r>
        <w:rPr>
          <w:rFonts w:ascii="David" w:hAnsi="David" w:cs="David"/>
          <w:b/>
          <w:bCs/>
          <w:sz w:val="24"/>
          <w:szCs w:val="24"/>
          <w:rtl/>
        </w:rPr>
        <w:t xml:space="preserve"> 5690/19</w:t>
      </w:r>
      <w:r>
        <w:rPr>
          <w:rFonts w:ascii="David" w:hAnsi="David" w:cs="David"/>
          <w:sz w:val="24"/>
          <w:szCs w:val="24"/>
          <w:rtl/>
        </w:rPr>
        <w:t xml:space="preserve">, לעיל; </w:t>
      </w:r>
      <w:proofErr w:type="spellStart"/>
      <w:r>
        <w:rPr>
          <w:rFonts w:ascii="David" w:hAnsi="David" w:cs="David"/>
          <w:sz w:val="24"/>
          <w:szCs w:val="24"/>
          <w:rtl/>
        </w:rPr>
        <w:t>בש"פ</w:t>
      </w:r>
      <w:proofErr w:type="spellEnd"/>
      <w:r>
        <w:rPr>
          <w:rFonts w:ascii="David" w:hAnsi="David" w:cs="David"/>
          <w:sz w:val="24"/>
          <w:szCs w:val="24"/>
          <w:rtl/>
        </w:rPr>
        <w:t xml:space="preserve"> 5439/18 </w:t>
      </w:r>
      <w:r>
        <w:rPr>
          <w:rFonts w:ascii="David" w:hAnsi="David" w:cs="David"/>
          <w:b/>
          <w:bCs/>
          <w:sz w:val="24"/>
          <w:szCs w:val="24"/>
          <w:rtl/>
        </w:rPr>
        <w:t>פלוני נ' מדינת ישראל</w:t>
      </w:r>
      <w:r>
        <w:rPr>
          <w:rFonts w:ascii="David" w:hAnsi="David" w:cs="David"/>
          <w:sz w:val="24"/>
          <w:szCs w:val="24"/>
          <w:rtl/>
        </w:rPr>
        <w:t xml:space="preserve"> (1.8.18); </w:t>
      </w:r>
      <w:proofErr w:type="spellStart"/>
      <w:r>
        <w:rPr>
          <w:rFonts w:ascii="David" w:hAnsi="David" w:cs="David"/>
          <w:b/>
          <w:bCs/>
          <w:sz w:val="24"/>
          <w:szCs w:val="24"/>
          <w:rtl/>
        </w:rPr>
        <w:t>בש"פ</w:t>
      </w:r>
      <w:proofErr w:type="spellEnd"/>
      <w:r>
        <w:rPr>
          <w:rFonts w:ascii="David" w:hAnsi="David" w:cs="David"/>
          <w:b/>
          <w:bCs/>
          <w:sz w:val="24"/>
          <w:szCs w:val="24"/>
          <w:rtl/>
        </w:rPr>
        <w:t xml:space="preserve"> 7957/14</w:t>
      </w:r>
      <w:r>
        <w:rPr>
          <w:rFonts w:ascii="David" w:hAnsi="David" w:cs="David"/>
          <w:sz w:val="24"/>
          <w:szCs w:val="24"/>
          <w:rtl/>
        </w:rPr>
        <w:t>, לעיל).</w:t>
      </w:r>
    </w:p>
    <w:p w:rsidR="008F35F5" w:rsidRDefault="008F35F5" w:rsidP="008F35F5">
      <w:pPr>
        <w:pStyle w:val="af"/>
        <w:spacing w:before="120" w:after="60" w:line="360" w:lineRule="auto"/>
        <w:ind w:left="567"/>
        <w:jc w:val="both"/>
        <w:rPr>
          <w:rFonts w:ascii="David" w:hAnsi="David" w:cs="David"/>
          <w:sz w:val="24"/>
          <w:szCs w:val="24"/>
        </w:rPr>
      </w:pPr>
      <w:r>
        <w:rPr>
          <w:rFonts w:ascii="David" w:hAnsi="David" w:cs="David"/>
          <w:sz w:val="24"/>
          <w:szCs w:val="24"/>
          <w:rtl/>
        </w:rPr>
        <w:t>פגם מעין זה בהתנהלות המדינה הוא נסיבה שיש להקנות לה משקל בהחלטה בדבר הארכת התנאים ואין בו כדי להביא כשלעצמו לדחיית הבקשה להארכת התנאים (</w:t>
      </w:r>
      <w:proofErr w:type="spellStart"/>
      <w:r>
        <w:rPr>
          <w:rFonts w:ascii="David" w:hAnsi="David" w:cs="David"/>
          <w:b/>
          <w:bCs/>
          <w:sz w:val="24"/>
          <w:szCs w:val="24"/>
          <w:rtl/>
        </w:rPr>
        <w:t>בש"פ</w:t>
      </w:r>
      <w:proofErr w:type="spellEnd"/>
      <w:r>
        <w:rPr>
          <w:rFonts w:ascii="David" w:hAnsi="David" w:cs="David"/>
          <w:b/>
          <w:bCs/>
          <w:sz w:val="24"/>
          <w:szCs w:val="24"/>
          <w:rtl/>
        </w:rPr>
        <w:t xml:space="preserve"> 5690/19</w:t>
      </w:r>
      <w:r>
        <w:rPr>
          <w:rFonts w:ascii="David" w:hAnsi="David" w:cs="David"/>
          <w:sz w:val="24"/>
          <w:szCs w:val="24"/>
          <w:rtl/>
        </w:rPr>
        <w:t xml:space="preserve">, לעיל; </w:t>
      </w:r>
      <w:proofErr w:type="spellStart"/>
      <w:r>
        <w:rPr>
          <w:rFonts w:ascii="David" w:hAnsi="David" w:cs="David"/>
          <w:sz w:val="24"/>
          <w:szCs w:val="24"/>
          <w:rtl/>
        </w:rPr>
        <w:t>בש"פ</w:t>
      </w:r>
      <w:proofErr w:type="spellEnd"/>
      <w:r>
        <w:rPr>
          <w:rFonts w:ascii="David" w:hAnsi="David" w:cs="David"/>
          <w:sz w:val="24"/>
          <w:szCs w:val="24"/>
          <w:rtl/>
        </w:rPr>
        <w:t xml:space="preserve"> 4234/14 </w:t>
      </w:r>
      <w:r>
        <w:rPr>
          <w:rFonts w:ascii="David" w:hAnsi="David" w:cs="David"/>
          <w:b/>
          <w:bCs/>
          <w:sz w:val="24"/>
          <w:szCs w:val="24"/>
          <w:rtl/>
        </w:rPr>
        <w:t>פלוני נ' מדינת ישראל</w:t>
      </w:r>
      <w:r>
        <w:rPr>
          <w:rFonts w:ascii="David" w:hAnsi="David" w:cs="David"/>
          <w:sz w:val="24"/>
          <w:szCs w:val="24"/>
          <w:rtl/>
        </w:rPr>
        <w:t xml:space="preserve"> (19.6.14)).</w:t>
      </w:r>
    </w:p>
    <w:p w:rsidR="008F35F5" w:rsidRDefault="008F35F5" w:rsidP="008F35F5">
      <w:pPr>
        <w:pStyle w:val="af"/>
        <w:numPr>
          <w:ilvl w:val="0"/>
          <w:numId w:val="2"/>
        </w:numPr>
        <w:spacing w:before="120" w:after="60" w:line="360" w:lineRule="auto"/>
        <w:jc w:val="both"/>
        <w:rPr>
          <w:rFonts w:ascii="David" w:hAnsi="David" w:cs="David"/>
          <w:sz w:val="24"/>
          <w:szCs w:val="24"/>
          <w:rtl/>
        </w:rPr>
      </w:pPr>
      <w:r>
        <w:rPr>
          <w:rFonts w:ascii="David" w:hAnsi="David" w:cs="David"/>
          <w:sz w:val="24"/>
          <w:szCs w:val="24"/>
          <w:rtl/>
        </w:rPr>
        <w:t xml:space="preserve">במקרה הנדון, לא הוגשה במועד בקשה להארכת התנאים המגבילים בהם שוהה העורר, ובכך נפל פגם. גם לאחר שבא כוח העורר הביא את הפגם לידיעת התביעה ולידיעת בית המשפט, מטעם שאינו נהיר, לא מצאה התביעה לנכון להגיש באיחור בקשה להארכת תנאים. </w:t>
      </w:r>
      <w:r w:rsidR="006673B3">
        <w:rPr>
          <w:rFonts w:ascii="David" w:hAnsi="David" w:cs="David" w:hint="cs"/>
          <w:sz w:val="24"/>
          <w:szCs w:val="24"/>
          <w:rtl/>
        </w:rPr>
        <w:t xml:space="preserve">בה בעת, לא ניתן להתעלם מדברי בא כוח העורר, בהליך </w:t>
      </w:r>
      <w:proofErr w:type="spellStart"/>
      <w:r w:rsidR="006673B3">
        <w:rPr>
          <w:rFonts w:ascii="David" w:hAnsi="David" w:cs="David" w:hint="cs"/>
          <w:sz w:val="24"/>
          <w:szCs w:val="24"/>
          <w:rtl/>
        </w:rPr>
        <w:t>הת"פ</w:t>
      </w:r>
      <w:proofErr w:type="spellEnd"/>
      <w:r w:rsidR="006673B3">
        <w:rPr>
          <w:rFonts w:ascii="David" w:hAnsi="David" w:cs="David" w:hint="cs"/>
          <w:sz w:val="24"/>
          <w:szCs w:val="24"/>
          <w:rtl/>
        </w:rPr>
        <w:t>, כי הוא מסכים להארכת התנאים.</w:t>
      </w:r>
      <w:r>
        <w:rPr>
          <w:rFonts w:ascii="David" w:hAnsi="David" w:cs="David"/>
          <w:sz w:val="24"/>
          <w:szCs w:val="24"/>
          <w:rtl/>
        </w:rPr>
        <w:t xml:space="preserve"> </w:t>
      </w:r>
    </w:p>
    <w:p w:rsidR="008F35F5" w:rsidRDefault="008F35F5" w:rsidP="008F35F5">
      <w:pPr>
        <w:pStyle w:val="af"/>
        <w:numPr>
          <w:ilvl w:val="0"/>
          <w:numId w:val="2"/>
        </w:numPr>
        <w:spacing w:before="120" w:after="60" w:line="360" w:lineRule="auto"/>
        <w:jc w:val="both"/>
        <w:rPr>
          <w:rFonts w:ascii="David" w:hAnsi="David" w:cs="David"/>
          <w:sz w:val="24"/>
          <w:szCs w:val="24"/>
        </w:rPr>
      </w:pPr>
      <w:r>
        <w:rPr>
          <w:rFonts w:ascii="David" w:hAnsi="David" w:cs="David"/>
          <w:sz w:val="24"/>
          <w:szCs w:val="24"/>
          <w:rtl/>
        </w:rPr>
        <w:t xml:space="preserve">אכן, צדק בית משפט השלום בקביעתו כי ניתן לרפא את הפגם, ובלבד שמתקיים דיון מהותי בהארכת התנאים מעבר ל-9 חודשים. אולם, במקרה הנדון, לא זו בלבד שלא הוגשה בקשה באיחור להארכת התנאים, אלא שגם דיון מהותי בהארכת התנאים המגבילים מעבר ל-9 חודשים לא התקיים. </w:t>
      </w:r>
    </w:p>
    <w:p w:rsidR="008F35F5" w:rsidRDefault="008F35F5" w:rsidP="008F35F5">
      <w:pPr>
        <w:pStyle w:val="af"/>
        <w:spacing w:before="120" w:after="60" w:line="360" w:lineRule="auto"/>
        <w:ind w:left="567"/>
        <w:jc w:val="both"/>
        <w:rPr>
          <w:rFonts w:ascii="David" w:hAnsi="David" w:cs="David"/>
          <w:sz w:val="24"/>
          <w:szCs w:val="24"/>
        </w:rPr>
      </w:pPr>
      <w:r>
        <w:rPr>
          <w:rFonts w:ascii="David" w:hAnsi="David" w:cs="David"/>
          <w:sz w:val="24"/>
          <w:szCs w:val="24"/>
          <w:rtl/>
        </w:rPr>
        <w:t xml:space="preserve">עיון בפרוטוקולים של הדיונים שהתקיימו בחודשים ינואר ופברואר 2023 בעניינו של העורר מגלה כי אמנם התקיימו דיונים מעקביים, אולם אין בהחלטות כל התייחסות לחלוף הזמן, להתקדמות המשפט ולהשפעה של התנאים המגבילים על העורר. למעשה, גם החלטת בית המשפט, מושא ערר זה, התמקדה בדיון המשפטי בדבר האפשרות להאריך תנאים מגבילים ללא בקשה שהוגשה מטעם התביעה, ואין בה דיון מהותי לגופה של הבקשה. </w:t>
      </w:r>
    </w:p>
    <w:p w:rsidR="008F35F5" w:rsidRDefault="008F35F5" w:rsidP="008F35F5">
      <w:pPr>
        <w:pStyle w:val="1"/>
        <w:numPr>
          <w:ilvl w:val="0"/>
          <w:numId w:val="0"/>
        </w:numPr>
        <w:rPr>
          <w:rFonts w:ascii="David" w:hAnsi="David" w:cs="David"/>
          <w:sz w:val="24"/>
        </w:rPr>
      </w:pPr>
    </w:p>
    <w:p w:rsidR="008F35F5" w:rsidRDefault="008F35F5" w:rsidP="008F35F5">
      <w:pPr>
        <w:rPr>
          <w:rFonts w:ascii="Calibri" w:hAnsi="Calibri"/>
          <w:b/>
          <w:bCs/>
          <w:u w:val="single"/>
          <w:rtl/>
        </w:rPr>
      </w:pPr>
      <w:r>
        <w:rPr>
          <w:b/>
          <w:bCs/>
          <w:u w:val="single"/>
          <w:rtl/>
        </w:rPr>
        <w:t>סיכום</w:t>
      </w:r>
    </w:p>
    <w:p w:rsidR="008F35F5" w:rsidRDefault="008F35F5" w:rsidP="008F35F5">
      <w:pPr>
        <w:pStyle w:val="1"/>
        <w:numPr>
          <w:ilvl w:val="0"/>
          <w:numId w:val="2"/>
        </w:numPr>
        <w:rPr>
          <w:rFonts w:ascii="David" w:hAnsi="David" w:cs="David"/>
          <w:sz w:val="24"/>
        </w:rPr>
      </w:pPr>
      <w:r>
        <w:rPr>
          <w:rFonts w:ascii="David" w:hAnsi="David" w:cs="David"/>
          <w:sz w:val="24"/>
          <w:rtl/>
        </w:rPr>
        <w:t xml:space="preserve">הנה כי כן, נפל פגם באי הגשת בקשה להארכת התנאים המגבילים מבעוד מועד על ידי התביעה. מחדל נוסף הוא בהיעדר הגשה בדיעבד של הבקשה. גם לא התקיים דיון מהותי בהארכת התנאים המגבילים. </w:t>
      </w:r>
    </w:p>
    <w:p w:rsidR="008F35F5" w:rsidRDefault="008F35F5" w:rsidP="008F35F5">
      <w:pPr>
        <w:pStyle w:val="1"/>
        <w:numPr>
          <w:ilvl w:val="0"/>
          <w:numId w:val="2"/>
        </w:numPr>
        <w:rPr>
          <w:rFonts w:ascii="David" w:hAnsi="David" w:cs="David"/>
          <w:sz w:val="24"/>
        </w:rPr>
      </w:pPr>
      <w:r>
        <w:rPr>
          <w:rFonts w:ascii="David" w:hAnsi="David" w:cs="David"/>
          <w:sz w:val="24"/>
          <w:rtl/>
        </w:rPr>
        <w:lastRenderedPageBreak/>
        <w:t xml:space="preserve">לפיכך, הערר מתקבל, </w:t>
      </w:r>
      <w:r>
        <w:rPr>
          <w:rFonts w:ascii="David" w:hAnsi="David" w:cs="David" w:hint="cs"/>
          <w:sz w:val="24"/>
          <w:rtl/>
        </w:rPr>
        <w:t xml:space="preserve">כך </w:t>
      </w:r>
      <w:r>
        <w:rPr>
          <w:rFonts w:ascii="David" w:hAnsi="David" w:cs="David"/>
          <w:sz w:val="24"/>
          <w:rtl/>
        </w:rPr>
        <w:t xml:space="preserve">שההחלטה שניתנה ביום 27.2.23 – מבוטלת. תחת זאת, ככל שהתביעה מבקשת להאריך את התנאים תגיש בקשה מתאימה, ובית המשפט לנוער יקבע דיון בבקשה בהקדם האפשרי, תוך שייתן ביטוי לפגם ולפסיקה, שלפיה אין בפגם כדי להוביל בהכרח לדחיית הבקשה. טענות הצדדים שמורות להם, ובית המשפט יעשה כחכמתו.   </w:t>
      </w:r>
    </w:p>
    <w:p w:rsidR="008F35F5" w:rsidRDefault="006673B3" w:rsidP="008F35F5">
      <w:pPr>
        <w:pStyle w:val="1"/>
        <w:numPr>
          <w:ilvl w:val="0"/>
          <w:numId w:val="2"/>
        </w:numPr>
        <w:rPr>
          <w:rFonts w:ascii="David" w:hAnsi="David" w:cs="David"/>
          <w:sz w:val="24"/>
        </w:rPr>
      </w:pPr>
      <w:r>
        <w:rPr>
          <w:rFonts w:ascii="David" w:hAnsi="David" w:cs="David" w:hint="cs"/>
          <w:sz w:val="24"/>
          <w:rtl/>
        </w:rPr>
        <w:t xml:space="preserve">בשים לב להסכמת בא כוח העורר להארכת התנאים בדיון בהליך </w:t>
      </w:r>
      <w:proofErr w:type="spellStart"/>
      <w:r>
        <w:rPr>
          <w:rFonts w:ascii="David" w:hAnsi="David" w:cs="David" w:hint="cs"/>
          <w:sz w:val="24"/>
          <w:rtl/>
        </w:rPr>
        <w:t>הת"פ</w:t>
      </w:r>
      <w:proofErr w:type="spellEnd"/>
      <w:r>
        <w:rPr>
          <w:rFonts w:ascii="David" w:hAnsi="David" w:cs="David" w:hint="cs"/>
          <w:sz w:val="24"/>
          <w:rtl/>
        </w:rPr>
        <w:t xml:space="preserve"> מיום 16.1.23, </w:t>
      </w:r>
      <w:r w:rsidR="008F35F5">
        <w:rPr>
          <w:rFonts w:ascii="David" w:hAnsi="David" w:cs="David"/>
          <w:sz w:val="24"/>
          <w:rtl/>
        </w:rPr>
        <w:t>התנאים המגבילים בהם שוהה העורר יוותרו בעינם עד החלטה אחרת.</w:t>
      </w:r>
    </w:p>
    <w:p w:rsidR="00694556" w:rsidRPr="008F35F5"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673B3">
      <w:pPr>
        <w:spacing w:line="360" w:lineRule="auto"/>
        <w:jc w:val="both"/>
        <w:rPr>
          <w:rFonts w:ascii="Arial" w:hAnsi="Arial"/>
          <w:noProof w:val="0"/>
          <w:rtl/>
        </w:rPr>
      </w:pPr>
      <w:r w:rsidRPr="006673B3">
        <w:rPr>
          <w:rFonts w:ascii="Arial" w:hAnsi="Arial" w:hint="cs"/>
          <w:b/>
          <w:bCs/>
          <w:noProof w:val="0"/>
          <w:rtl/>
        </w:rPr>
        <w:t>ההחלטה תומצא לצדדים</w:t>
      </w:r>
      <w:r>
        <w:rPr>
          <w:rFonts w:ascii="Arial" w:hAnsi="Arial" w:hint="cs"/>
          <w:noProof w:val="0"/>
          <w:rtl/>
        </w:rPr>
        <w:t>.</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מרץ 2023</w:t>
          </w:r>
        </w:sdtContent>
      </w:sdt>
      <w:r w:rsidR="00005C8B">
        <w:rPr>
          <w:rFonts w:ascii="Arial" w:hAnsi="Arial"/>
          <w:noProof w:val="0"/>
          <w:rtl/>
        </w:rPr>
        <w:t>, בהעדר הצדדים.</w:t>
      </w:r>
    </w:p>
    <w:p w:rsidR="00C43648" w:rsidRDefault="00DC734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35955370"/>
        </w:sdtPr>
        <w:sdtEndPr/>
        <w:sdtContent>
          <w:r w:rsidR="00C61BA4">
            <w:drawing>
              <wp:inline distT="0" distB="0" distL="0" distR="0" wp14:editId="50D07946">
                <wp:extent cx="1133475"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33475" cy="495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C7347">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C7347">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 לוד בשבתו כבית משפט לנוער</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C7347" w:rsidP="00DC7347">
          <w:pPr>
            <w:rPr>
              <w:b/>
              <w:bCs/>
              <w:noProof w:val="0"/>
              <w:sz w:val="26"/>
              <w:szCs w:val="26"/>
              <w:rtl/>
            </w:rPr>
          </w:pPr>
          <w:sdt>
            <w:sdtPr>
              <w:rPr>
                <w:rtl/>
              </w:rPr>
              <w:alias w:val="1170"/>
              <w:tag w:val="1170"/>
              <w:id w:val="1066377040"/>
              <w:text w:multiLine="1"/>
            </w:sdtPr>
            <w:sdtEndPr/>
            <w:sdtContent>
              <w:proofErr w:type="spellStart"/>
              <w:r w:rsidR="00897DAF">
                <w:rPr>
                  <w:b/>
                  <w:bCs/>
                  <w:noProof w:val="0"/>
                  <w:sz w:val="26"/>
                  <w:szCs w:val="26"/>
                  <w:rtl/>
                </w:rPr>
                <w:t>עמ"ת</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23085-03-23</w:t>
              </w:r>
            </w:sdtContent>
          </w:sdt>
          <w:r w:rsidR="00005C8B">
            <w:rPr>
              <w:b/>
              <w:bCs/>
              <w:noProof w:val="0"/>
              <w:sz w:val="26"/>
              <w:szCs w:val="26"/>
              <w:rtl/>
            </w:rPr>
            <w:t xml:space="preserve"> </w:t>
          </w:r>
          <w:sdt>
            <w:sdtPr>
              <w:rPr>
                <w:rtl/>
              </w:rPr>
              <w:alias w:val="1172"/>
              <w:tag w:val="1172"/>
              <w:id w:val="-595170033"/>
              <w:text w:multiLine="1"/>
            </w:sdtPr>
            <w:sdtEndPr/>
            <w:sdtContent>
              <w:r>
                <w:rPr>
                  <w:b/>
                  <w:bCs/>
                  <w:noProof w:val="0"/>
                  <w:sz w:val="26"/>
                  <w:szCs w:val="26"/>
                </w:rPr>
                <w:t>xxx</w:t>
              </w:r>
              <w:r w:rsidR="00897DAF">
                <w:rPr>
                  <w:b/>
                  <w:bCs/>
                  <w:noProof w:val="0"/>
                  <w:sz w:val="26"/>
                  <w:szCs w:val="26"/>
                  <w:rtl/>
                </w:rPr>
                <w:t>(קטין) נ' מדינת ישראל</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7D45E3" w:rsidP="007D45E3">
          <w:pPr>
            <w:rPr>
              <w:sz w:val="20"/>
              <w:szCs w:val="20"/>
              <w:rtl/>
            </w:rPr>
          </w:pP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83646"/>
    <w:multiLevelType w:val="multilevel"/>
    <w:tmpl w:val="AA0621CA"/>
    <w:styleLink w:val="LFO2"/>
    <w:lvl w:ilvl="0">
      <w:start w:val="1"/>
      <w:numFmt w:val="decimal"/>
      <w:pStyle w:val="1"/>
      <w:lvlText w:val="%1."/>
      <w:lvlJc w:val="left"/>
      <w:pPr>
        <w:ind w:left="567" w:hanging="567"/>
      </w:pPr>
      <w:rPr>
        <w:rFonts w:cs="Times New Roman"/>
      </w:rPr>
    </w:lvl>
    <w:lvl w:ilvl="1">
      <w:start w:val="1"/>
      <w:numFmt w:val="lowerLetter"/>
      <w:lvlText w:val="%2."/>
      <w:lvlJc w:val="left"/>
      <w:pPr>
        <w:ind w:left="1440" w:hanging="360"/>
      </w:pPr>
      <w:rPr>
        <w:rFonts w:cs="Times New Roman"/>
      </w:rPr>
    </w:lvl>
    <w:lvl w:ilvl="2">
      <w:start w:val="1"/>
      <w:numFmt w:val="hebrew1"/>
      <w:lvlText w:val="%3."/>
      <w:lvlJc w:val="left"/>
      <w:pPr>
        <w:ind w:left="2340" w:hanging="360"/>
      </w:pPr>
      <w:rPr>
        <w:rFonts w:cs="Times New Roman"/>
        <w:sz w:val="2"/>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576333B8"/>
    <w:multiLevelType w:val="multilevel"/>
    <w:tmpl w:val="2098B410"/>
    <w:lvl w:ilvl="0">
      <w:start w:val="1"/>
      <w:numFmt w:val="decimal"/>
      <w:lvlText w:val="%1."/>
      <w:lvlJc w:val="left"/>
      <w:pPr>
        <w:ind w:left="567" w:hanging="567"/>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9968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9768D"/>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673B3"/>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8F35F5"/>
    <w:rsid w:val="00903896"/>
    <w:rsid w:val="00906F3D"/>
    <w:rsid w:val="009304FE"/>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1BA4"/>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C7347"/>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99683"/>
    <o:shapelayout v:ext="edit">
      <o:idmap v:ext="edit" data="1"/>
    </o:shapelayout>
  </w:shapeDefaults>
  <w:decimalSymbol w:val="."/>
  <w:listSeparator w:val=","/>
  <w14:docId w14:val="15CBA9D6"/>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0">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Title"/>
    <w:basedOn w:val="a"/>
    <w:next w:val="a"/>
    <w:link w:val="ae"/>
    <w:uiPriority w:val="10"/>
    <w:qFormat/>
    <w:rsid w:val="008F35F5"/>
    <w:pPr>
      <w:suppressAutoHyphens/>
      <w:autoSpaceDN w:val="0"/>
      <w:spacing w:before="120" w:after="60" w:line="360" w:lineRule="auto"/>
      <w:jc w:val="center"/>
    </w:pPr>
    <w:rPr>
      <w:rFonts w:ascii="David" w:eastAsia="Calibri" w:hAnsi="David"/>
      <w:b/>
      <w:bCs/>
      <w:noProof w:val="0"/>
      <w:u w:val="single"/>
    </w:rPr>
  </w:style>
  <w:style w:type="character" w:customStyle="1" w:styleId="ae">
    <w:name w:val="כותרת טקסט תו"/>
    <w:basedOn w:val="a0"/>
    <w:link w:val="ad"/>
    <w:uiPriority w:val="10"/>
    <w:rsid w:val="008F35F5"/>
    <w:rPr>
      <w:rFonts w:ascii="David" w:eastAsia="Calibri" w:hAnsi="David" w:cs="David"/>
      <w:b/>
      <w:bCs/>
      <w:sz w:val="24"/>
      <w:szCs w:val="24"/>
      <w:u w:val="single"/>
    </w:rPr>
  </w:style>
  <w:style w:type="paragraph" w:styleId="af">
    <w:name w:val="List Paragraph"/>
    <w:basedOn w:val="a"/>
    <w:qFormat/>
    <w:rsid w:val="008F35F5"/>
    <w:pPr>
      <w:suppressAutoHyphens/>
      <w:autoSpaceDN w:val="0"/>
      <w:spacing w:after="200" w:line="276" w:lineRule="auto"/>
      <w:ind w:left="720"/>
    </w:pPr>
    <w:rPr>
      <w:rFonts w:ascii="Calibri" w:eastAsia="Calibri" w:hAnsi="Calibri" w:cs="Arial"/>
      <w:noProof w:val="0"/>
      <w:sz w:val="22"/>
      <w:szCs w:val="22"/>
    </w:rPr>
  </w:style>
  <w:style w:type="paragraph" w:customStyle="1" w:styleId="1">
    <w:name w:val="מספור1"/>
    <w:basedOn w:val="a"/>
    <w:next w:val="a"/>
    <w:qFormat/>
    <w:rsid w:val="008F35F5"/>
    <w:pPr>
      <w:numPr>
        <w:numId w:val="1"/>
      </w:numPr>
      <w:suppressAutoHyphens/>
      <w:autoSpaceDN w:val="0"/>
      <w:spacing w:before="120" w:after="60" w:line="360" w:lineRule="auto"/>
      <w:jc w:val="both"/>
    </w:pPr>
    <w:rPr>
      <w:rFonts w:cs="Times New Roman"/>
      <w:noProof w:val="0"/>
      <w:sz w:val="20"/>
    </w:rPr>
  </w:style>
  <w:style w:type="numbering" w:customStyle="1" w:styleId="LFO2">
    <w:name w:val="LFO2"/>
    <w:rsid w:val="008F35F5"/>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6947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85722" w:rsidP="00C85722">
          <w:pPr>
            <w:pStyle w:val="E460D38E05664FF79D4EFF282EF8EC9925"/>
          </w:pPr>
          <w:r>
            <w:rPr>
              <w:rFonts w:hint="cs"/>
              <w:rtl/>
            </w:rPr>
            <w:t xml:space="preserve">     </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405FEA" w:rsidP="00405FEA">
          <w:pPr>
            <w:pStyle w:val="BAA7C8D270FD4AD58EEC53F0343E378A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85722"/>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C8572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1293</Words>
  <Characters>6467</Characters>
  <Application>Microsoft Office Word</Application>
  <DocSecurity>0</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3</cp:revision>
  <dcterms:created xsi:type="dcterms:W3CDTF">2023-06-01T07:47:00Z</dcterms:created>
  <dcterms:modified xsi:type="dcterms:W3CDTF">2023-06-01T07:48:00Z</dcterms:modified>
</cp:coreProperties>
</file>